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w:t>
      </w:r>
      <w:r>
        <w:rPr>
          <w:rFonts w:hint="eastAsia" w:ascii="仿宋_GB2312" w:hAnsi="仿宋_GB2312" w:cs="仿宋_GB2312"/>
          <w:sz w:val="32"/>
          <w:szCs w:val="32"/>
          <w:lang w:val="en-US" w:eastAsia="zh-CN"/>
        </w:rPr>
        <w:t>件2</w:t>
      </w:r>
      <w:r>
        <w:rPr>
          <w:rFonts w:hint="eastAsia" w:ascii="仿宋_GB2312" w:hAnsi="仿宋_GB2312" w:eastAsia="仿宋_GB2312" w:cs="仿宋_GB2312"/>
          <w:sz w:val="32"/>
          <w:szCs w:val="32"/>
        </w:rPr>
        <w:t>：</w:t>
      </w:r>
      <w:r>
        <w:rPr>
          <w:rFonts w:hint="eastAsia" w:ascii="仿宋_GB2312" w:hAnsi="仿宋_GB2312" w:cs="仿宋_GB2312"/>
          <w:sz w:val="32"/>
          <w:szCs w:val="32"/>
          <w:lang w:val="en-US" w:eastAsia="zh-CN"/>
        </w:rPr>
        <w:t>采购清单及</w:t>
      </w:r>
      <w:r>
        <w:rPr>
          <w:rFonts w:hint="eastAsia" w:ascii="仿宋_GB2312" w:hAnsi="仿宋_GB2312" w:eastAsia="仿宋_GB2312" w:cs="仿宋_GB2312"/>
          <w:sz w:val="32"/>
          <w:szCs w:val="32"/>
        </w:rPr>
        <w:t>报价表</w:t>
      </w:r>
    </w:p>
    <w:tbl>
      <w:tblPr>
        <w:tblStyle w:val="6"/>
        <w:tblW w:w="87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0"/>
        <w:gridCol w:w="396"/>
        <w:gridCol w:w="1005"/>
        <w:gridCol w:w="26"/>
        <w:gridCol w:w="4729"/>
        <w:gridCol w:w="26"/>
        <w:gridCol w:w="1264"/>
        <w:gridCol w:w="8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8790" w:type="dxa"/>
            <w:gridSpan w:val="8"/>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许昌幼儿师范学校招生大厅文化版面及设备采购清单（二次）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序号</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名称</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材质 参数</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尺寸</w:t>
            </w:r>
          </w:p>
        </w:tc>
        <w:tc>
          <w:tcPr>
            <w:tcW w:w="834"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楼体字</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发光字</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1*8m</w:t>
            </w:r>
          </w:p>
        </w:tc>
        <w:tc>
          <w:tcPr>
            <w:tcW w:w="834"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室内墙面文化装饰</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全屋设计制作安装异形1.5cm高密度pvc喷木器漆大字部分做亚克力雕刻字。荣誉墙部分需要根据情况制作金色奖牌。</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230㎡</w:t>
            </w:r>
          </w:p>
        </w:tc>
        <w:tc>
          <w:tcPr>
            <w:tcW w:w="834"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洽谈桌椅</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烤漆圆桌+四把实木桌椅</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圆桌70cm，椅子50cm</w:t>
            </w:r>
          </w:p>
        </w:tc>
        <w:tc>
          <w:tcPr>
            <w:tcW w:w="834"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咨询服务台</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高密度板+环保型烤漆</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320*80*105cm高</w:t>
            </w:r>
          </w:p>
        </w:tc>
        <w:tc>
          <w:tcPr>
            <w:tcW w:w="834"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咨询台座椅</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面料:高分子纤维面料。塑胶件:背框+扶手PP加纤材料。弓型架:国标1.0厚方管电镀弓型架</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常规</w:t>
            </w:r>
          </w:p>
        </w:tc>
        <w:tc>
          <w:tcPr>
            <w:tcW w:w="834"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咨询转椅</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皮革面+不锈钢底座，40-70cm调节</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常规</w:t>
            </w:r>
          </w:p>
        </w:tc>
        <w:tc>
          <w:tcPr>
            <w:tcW w:w="834"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前台背景墙</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石膏板+轻钢龙骨+腻子+环保乳胶漆，造型设计，焗柒字字体</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sz w:val="21"/>
                <w:szCs w:val="21"/>
                <w:u w:val="none"/>
                <w:lang w:val="en-US"/>
              </w:rPr>
            </w:pPr>
            <w:r>
              <w:rPr>
                <w:rFonts w:hint="eastAsia" w:asciiTheme="minorEastAsia" w:hAnsiTheme="minorEastAsia" w:eastAsiaTheme="minorEastAsia" w:cstheme="minorEastAsia"/>
                <w:i w:val="0"/>
                <w:iCs w:val="0"/>
                <w:color w:val="000000"/>
                <w:kern w:val="0"/>
                <w:sz w:val="21"/>
                <w:szCs w:val="21"/>
                <w:u w:val="none"/>
                <w:lang w:val="en-US" w:eastAsia="zh-CN" w:bidi="ar"/>
              </w:rPr>
              <w:t>3*4.2m</w:t>
            </w:r>
            <w:r>
              <w:rPr>
                <w:rFonts w:hint="eastAsia" w:asciiTheme="minorEastAsia" w:hAnsiTheme="minorEastAsia" w:eastAsiaTheme="minorEastAsia" w:cstheme="minorEastAsia"/>
                <w:i w:val="0"/>
                <w:iCs w:val="0"/>
                <w:color w:val="000000"/>
                <w:kern w:val="0"/>
                <w:sz w:val="21"/>
                <w:szCs w:val="21"/>
                <w:u w:val="none"/>
                <w:vertAlign w:val="superscript"/>
                <w:lang w:val="en-US" w:eastAsia="zh-CN" w:bidi="ar"/>
              </w:rPr>
              <w:t>2</w:t>
            </w:r>
          </w:p>
        </w:tc>
        <w:tc>
          <w:tcPr>
            <w:tcW w:w="834"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8</w:t>
            </w:r>
          </w:p>
        </w:tc>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一体机电脑</w:t>
            </w:r>
          </w:p>
        </w:tc>
        <w:tc>
          <w:tcPr>
            <w:tcW w:w="475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CPU ：intel 13代及以上 i5处理器≥10核心，≥16线程，主频≥2.5Ghz，睿频≥4.6Ghz</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内存：≥16G DDR4 3200MHz内存，提供双内存槽位；</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硬盘：512G PCIe M.2  NVMe SSD，支持扩展一块HDD盘最高支持2T</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网卡：集成10/100/1000M以太网卡，集成802.11ax以上无线网卡，支持wifi6</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蓝牙：蓝牙5.2</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音频设备：内置立体声音箱</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显示屏：27英寸16:9 LED背光宽屏，2560*1440@60Hz，不低于178°可视角</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键盘、鼠标：标配与主机同品牌原厂USB键盘、鼠标接口：≥4个USB2.0接口，≥4个USB3.0接口，≥1个HDMI 1.4输出接口，≥1个串口</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安装扩展：支持VESA标准 100mm*100mm</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安全：具备Kensington标准孔</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按键：开机按键，屏幕亮度调节按键</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 xml:space="preserve">特色功能：一键恢复 Bios统一启用和关断USB管控电源：标配与主机同品牌原厂电源≥150W  </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机箱：俯仰底座 ，前5°后15°±3°</w:t>
            </w:r>
          </w:p>
          <w:p>
            <w:pPr>
              <w:keepNext w:val="0"/>
              <w:keepLines w:val="0"/>
              <w:widowControl/>
              <w:suppressLineNumbers w:val="0"/>
              <w:jc w:val="both"/>
              <w:textAlignment w:val="center"/>
              <w:rPr>
                <w:rFonts w:hint="eastAsia" w:asciiTheme="minorEastAsia" w:hAnsiTheme="minorEastAsia" w:eastAsiaTheme="minorEastAsia" w:cstheme="minorEastAsia"/>
                <w:b/>
                <w:bCs/>
                <w:i w:val="0"/>
                <w:iCs w:val="0"/>
                <w:color w:val="FF0000"/>
                <w:kern w:val="0"/>
                <w:sz w:val="21"/>
                <w:szCs w:val="21"/>
                <w:highlight w:val="none"/>
                <w:u w:val="none"/>
                <w:lang w:val="en-US" w:eastAsia="zh-CN" w:bidi="ar"/>
              </w:rPr>
            </w:pPr>
            <w:r>
              <w:rPr>
                <w:rFonts w:hint="eastAsia" w:asciiTheme="minorEastAsia" w:hAnsiTheme="minorEastAsia" w:eastAsiaTheme="minorEastAsia" w:cstheme="minorEastAsia"/>
                <w:b/>
                <w:bCs/>
                <w:i w:val="0"/>
                <w:iCs w:val="0"/>
                <w:color w:val="FF0000"/>
                <w:kern w:val="0"/>
                <w:sz w:val="21"/>
                <w:szCs w:val="21"/>
                <w:highlight w:val="none"/>
                <w:u w:val="none"/>
                <w:lang w:val="en-US" w:eastAsia="zh-CN" w:bidi="ar"/>
              </w:rPr>
              <w:t>认证：CCC、节能、十环、信息安全认证（需提供相关佐证材料）</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服务：服务要求：（1）整机三年上门服务，对于在有效服务期限内适用上门服务的服务产品，商用认证服务工程师与客户预约时间后提供上门服务。服务时间:7×9，每周7天，9:00至18:00。</w:t>
            </w:r>
            <w:r>
              <w:rPr>
                <w:rFonts w:hint="eastAsia" w:asciiTheme="minorEastAsia" w:hAnsiTheme="minorEastAsia" w:eastAsiaTheme="minorEastAsia" w:cstheme="minorEastAsia"/>
                <w:b/>
                <w:bCs/>
                <w:i w:val="0"/>
                <w:iCs w:val="0"/>
                <w:color w:val="FF0000"/>
                <w:kern w:val="0"/>
                <w:sz w:val="21"/>
                <w:szCs w:val="21"/>
                <w:highlight w:val="none"/>
                <w:u w:val="none"/>
                <w:lang w:val="en-US" w:eastAsia="zh-CN" w:bidi="ar"/>
              </w:rPr>
              <w:t>（2）原厂售后服务通过客户联络中心标准体系（CCCS）钻石五星级认证。（需提供相关佐证材料）</w:t>
            </w:r>
          </w:p>
        </w:tc>
        <w:tc>
          <w:tcPr>
            <w:tcW w:w="129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一体机</w:t>
            </w:r>
          </w:p>
        </w:tc>
        <w:tc>
          <w:tcPr>
            <w:tcW w:w="834"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06"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475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i w:val="0"/>
                <w:iCs w:val="0"/>
                <w:color w:val="000000"/>
                <w:sz w:val="21"/>
                <w:szCs w:val="21"/>
                <w:u w:val="none"/>
              </w:rPr>
            </w:pPr>
          </w:p>
        </w:tc>
        <w:tc>
          <w:tcPr>
            <w:tcW w:w="12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9</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打印机</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黑白激光机，打印复印扫描三合一，带原装硒鼓，最大打印尺寸A4</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常规</w:t>
            </w:r>
          </w:p>
        </w:tc>
        <w:tc>
          <w:tcPr>
            <w:tcW w:w="834"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0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10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立式触摸一体机</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CPU：I5 内存：4G +128G，操作系统：WINDOWS 触摸式屏幕</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整体尺寸190*79cm</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屏幕尺寸120.8*68cm</w:t>
            </w:r>
          </w:p>
        </w:tc>
        <w:tc>
          <w:tcPr>
            <w:tcW w:w="834"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10" w:type="dxa"/>
            <w:vMerge w:val="restart"/>
            <w:tcBorders>
              <w:top w:val="single" w:color="000000" w:sz="4" w:space="0"/>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11</w:t>
            </w:r>
          </w:p>
          <w:p>
            <w:pPr>
              <w:jc w:val="center"/>
              <w:rPr>
                <w:rFonts w:hint="eastAsia" w:asciiTheme="minorEastAsia" w:hAnsiTheme="minorEastAsia" w:eastAsiaTheme="minorEastAsia" w:cstheme="minorEastAsia"/>
                <w:i w:val="0"/>
                <w:iCs w:val="0"/>
                <w:color w:val="000000"/>
                <w:sz w:val="21"/>
                <w:szCs w:val="21"/>
                <w:u w:val="none"/>
                <w:lang w:val="en-US" w:eastAsia="zh-CN"/>
              </w:rPr>
            </w:pPr>
          </w:p>
        </w:tc>
        <w:tc>
          <w:tcPr>
            <w:tcW w:w="396" w:type="dxa"/>
            <w:vMerge w:val="restart"/>
            <w:tcBorders>
              <w:top w:val="single" w:color="000000" w:sz="4" w:space="0"/>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室内led大屏</w:t>
            </w:r>
          </w:p>
        </w:tc>
        <w:tc>
          <w:tcPr>
            <w:tcW w:w="10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室内led屏以及音响设备</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numPr>
                <w:ilvl w:val="0"/>
                <w:numId w:val="1"/>
              </w:numPr>
              <w:suppressLineNumbers w:val="0"/>
              <w:kinsoku/>
              <w:wordWrap w:val="0"/>
              <w:overflowPunct/>
              <w:topLinePunct w:val="0"/>
              <w:autoSpaceDE/>
              <w:autoSpaceDN/>
              <w:bidi w:val="0"/>
              <w:adjustRightInd/>
              <w:snapToGrid/>
              <w:jc w:val="left"/>
              <w:textAlignment w:val="auto"/>
              <w:rPr>
                <w:rFonts w:hint="eastAsia" w:ascii="宋体" w:hAnsi="宋体" w:eastAsia="宋体" w:cs="宋体"/>
                <w:b/>
                <w:bCs/>
                <w:color w:val="FF0000"/>
                <w:sz w:val="22"/>
                <w:szCs w:val="22"/>
                <w:highlight w:val="no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★像素点间距：≤2mm</w:t>
            </w:r>
            <w:r>
              <w:rPr>
                <w:rFonts w:hint="eastAsia" w:ascii="宋体" w:hAnsi="宋体" w:eastAsia="宋体" w:cs="宋体"/>
                <w:b/>
                <w:bCs/>
                <w:color w:val="FF0000"/>
                <w:sz w:val="22"/>
                <w:szCs w:val="22"/>
                <w:highlight w:val="none"/>
                <w:lang w:val="en-US" w:eastAsia="zh-CN"/>
              </w:rPr>
              <w:t>（提供由第三方权威检测机构出具带有“CNAS”、“CMA”、“ilac-MRA”标志的检测报告复印件，加盖制造商公章）</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b w:val="0"/>
                <w:bCs w:val="0"/>
                <w:sz w:val="22"/>
                <w:szCs w:val="22"/>
                <w:highlight w:val="none"/>
                <w:lang w:eastAsia="zh-CN"/>
              </w:rPr>
              <w:t>分辨率：</w:t>
            </w:r>
            <w:r>
              <w:rPr>
                <w:rFonts w:hint="eastAsia" w:ascii="宋体" w:hAnsi="宋体" w:eastAsia="宋体" w:cs="宋体"/>
                <w:color w:val="auto"/>
                <w:sz w:val="22"/>
                <w:szCs w:val="22"/>
                <w:highlight w:val="none"/>
                <w:lang w:val="en-US" w:eastAsia="zh-CN"/>
              </w:rPr>
              <w:t>≥1920*1440</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bCs/>
                <w:color w:val="FF0000"/>
                <w:sz w:val="22"/>
                <w:szCs w:val="22"/>
                <w:highlight w:val="none"/>
                <w:lang w:val="en-US" w:eastAsia="zh-CN"/>
              </w:rPr>
            </w:pPr>
            <w:r>
              <w:rPr>
                <w:rFonts w:hint="eastAsia" w:ascii="宋体" w:hAnsi="宋体" w:eastAsia="宋体" w:cs="宋体"/>
                <w:b w:val="0"/>
                <w:bCs w:val="0"/>
                <w:color w:val="000000" w:themeColor="text1"/>
                <w:sz w:val="22"/>
                <w:szCs w:val="22"/>
                <w:highlight w:val="none"/>
                <w14:textFill>
                  <w14:solidFill>
                    <w14:schemeClr w14:val="tx1"/>
                  </w14:solidFill>
                </w14:textFill>
              </w:rPr>
              <w:t>★</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刷新率：≥3840Hz，支持通过配套控制软件调节刷新率设置选项</w:t>
            </w:r>
            <w:r>
              <w:rPr>
                <w:rFonts w:hint="eastAsia" w:ascii="宋体" w:hAnsi="宋体" w:eastAsia="宋体" w:cs="宋体"/>
                <w:b/>
                <w:bCs/>
                <w:color w:val="FF0000"/>
                <w:sz w:val="22"/>
                <w:szCs w:val="22"/>
                <w:highlight w:val="none"/>
                <w:lang w:val="en-US" w:eastAsia="zh-CN"/>
              </w:rPr>
              <w:t>（提供由第三方权威检测机构出具带有“CNAS”、“CMA”、“ilac-MRA”标志的检测报告复印件，加盖制造商公章）</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像素构成：1R、1G、1B</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bCs/>
                <w:color w:val="FF0000"/>
                <w:sz w:val="21"/>
                <w:szCs w:val="21"/>
                <w:highlight w:val="none"/>
                <w:lang w:val="en-US" w:eastAsia="zh-CN"/>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封装方式：SMD表贴三合一，灯芯键合线材质为铜线，五面黑灯，表面不反光</w:t>
            </w:r>
            <w:r>
              <w:rPr>
                <w:rFonts w:hint="eastAsia" w:ascii="宋体" w:hAnsi="宋体" w:eastAsia="宋体" w:cs="宋体"/>
                <w:b/>
                <w:bCs/>
                <w:color w:val="FF0000"/>
                <w:sz w:val="21"/>
                <w:szCs w:val="21"/>
                <w:highlight w:val="none"/>
                <w:lang w:val="en-US" w:eastAsia="zh-CN"/>
              </w:rPr>
              <w:t>（提供由第三方权威检测机构出具带有“CNAS”、“CMA”、“ilac-MRA”标志的检测报告复印件，加盖制造商公章）</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驱动方式：恒流驱动；控制方式：同步控制系统；维护方式：前后双向维护</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整屏平整度≤0.04mm；模组平整度≤0.03mm</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bCs/>
                <w:color w:val="FF0000"/>
                <w:sz w:val="21"/>
                <w:szCs w:val="21"/>
                <w:highlight w:val="none"/>
                <w:lang w:val="en-US" w:eastAsia="zh-CN"/>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白平衡亮度：0-700cd/㎡可调；亮度调节：0-100%亮度可调，256级手动/自动调节，屏幕亮度具有随环境照度的变化任意调整功能；亮度均匀性：≥99%</w:t>
            </w:r>
            <w:r>
              <w:rPr>
                <w:rFonts w:hint="eastAsia" w:ascii="宋体" w:hAnsi="宋体" w:eastAsia="宋体" w:cs="宋体"/>
                <w:b/>
                <w:bCs/>
                <w:color w:val="FF0000"/>
                <w:sz w:val="21"/>
                <w:szCs w:val="21"/>
                <w:highlight w:val="none"/>
                <w:lang w:val="en-US" w:eastAsia="zh-CN"/>
              </w:rPr>
              <w:t>（提供由第三方权威检测机构出具带有“CNAS”、“CMA”、“ilac-MRA”标志的检测报告复印件，加盖制造商公章）</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色温800K-18000K可调；白平衡状态下色温在6500K±5%；色温为6500K时，100%75%50%25%档电平白场调节色温误差≤100K</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水平视角≥170°；垂直视角≥170°</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对比度≥9000：1</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bCs/>
                <w:color w:val="FF0000"/>
                <w:sz w:val="21"/>
                <w:szCs w:val="21"/>
                <w:highlight w:val="none"/>
                <w:lang w:val="en-US" w:eastAsia="zh-CN"/>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▲具有H2S宽动态处理技术，解决主控机二次重复播放时的衰减等现象</w:t>
            </w:r>
            <w:r>
              <w:rPr>
                <w:rFonts w:hint="eastAsia" w:ascii="宋体" w:hAnsi="宋体" w:eastAsia="宋体" w:cs="宋体"/>
                <w:b/>
                <w:bCs/>
                <w:color w:val="FF0000"/>
                <w:sz w:val="21"/>
                <w:szCs w:val="21"/>
                <w:highlight w:val="none"/>
                <w:lang w:val="en-US" w:eastAsia="zh-CN"/>
              </w:rPr>
              <w:t>（提供由第三方权威检测机构出具带有“CNAS”、“CMA”、“ilac-MRA”标志的检测报告复印件，加盖制造商公章）</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供电电源：在4.2*（1±10%）VDC～4.5*（1±10%）VDC范围内能正常工作；峰值功耗≤300W/m²；平均功耗≤120W/m²</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bCs/>
                <w:color w:val="FF0000"/>
                <w:sz w:val="21"/>
                <w:szCs w:val="21"/>
                <w:highlight w:val="none"/>
                <w:lang w:val="en-US" w:eastAsia="zh-CN"/>
              </w:rPr>
            </w:pPr>
            <w:r>
              <w:rPr>
                <w:rFonts w:hint="eastAsia" w:ascii="宋体" w:hAnsi="宋体" w:eastAsia="宋体" w:cs="宋体"/>
                <w:b w:val="0"/>
                <w:bCs w:val="0"/>
                <w:sz w:val="21"/>
                <w:szCs w:val="21"/>
                <w:highlight w:val="none"/>
                <w:lang w:val="en-US" w:eastAsia="zh-CN"/>
              </w:rPr>
              <w:t>▲在器具输入插座端与屏正面之间施加试验电压3kv/50Hz，保持1min，不应出现飞弧和击穿现象，产品能正常工作；在5000米海拔环境下，产品可正常工作</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；输入电压：支持宽压输入在96-264VAC，支持窄压输入在200-240VAC，在该范围内能正常工作</w:t>
            </w:r>
            <w:r>
              <w:rPr>
                <w:rFonts w:hint="eastAsia" w:ascii="宋体" w:hAnsi="宋体" w:eastAsia="宋体" w:cs="宋体"/>
                <w:b/>
                <w:bCs/>
                <w:color w:val="FF0000"/>
                <w:sz w:val="21"/>
                <w:szCs w:val="21"/>
                <w:highlight w:val="none"/>
                <w:lang w:val="en-US" w:eastAsia="zh-CN"/>
              </w:rPr>
              <w:t>（提供由第三方权威检测机构出具带有“CNAS”、“CMA”、“ilac-MRA”标志的检测报告复印件，加盖制造商公章）</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bCs/>
                <w:color w:val="FF0000"/>
                <w:sz w:val="21"/>
                <w:szCs w:val="21"/>
                <w:highlight w:val="none"/>
                <w:lang w:val="en-US" w:eastAsia="zh-CN"/>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▲防护性能：具有防静电、防电磁干扰、防腐蚀、防霉菌、防虫、防潮、抗震动、抗雷击等功能；具有电源过压、过流、断电保护、分布上电措施、防护等级达到IP60</w:t>
            </w:r>
            <w:r>
              <w:rPr>
                <w:rFonts w:hint="eastAsia" w:ascii="宋体" w:hAnsi="宋体" w:eastAsia="宋体" w:cs="宋体"/>
                <w:b/>
                <w:bCs/>
                <w:color w:val="FF0000"/>
                <w:sz w:val="21"/>
                <w:szCs w:val="21"/>
                <w:highlight w:val="none"/>
                <w:lang w:val="en-US" w:eastAsia="zh-CN"/>
              </w:rPr>
              <w:t>（提供由第三方权威检测机构出具带有“CNAS”、“CMA”、“ilac-MRA”标志的检测报告复印件，加盖制造商公章）</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bCs/>
                <w:color w:val="FF0000"/>
                <w:sz w:val="21"/>
                <w:szCs w:val="21"/>
                <w:highlight w:val="none"/>
                <w:lang w:val="en-US" w:eastAsia="zh-CN"/>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▲为了所投LED显示屏产品的安全性和适应性，屏体内部所用排线需符合耐高温实验、耐压测试、折弯参数测试要求，耐燃等级符合VW-1/UL94V-0</w:t>
            </w:r>
            <w:r>
              <w:rPr>
                <w:rFonts w:hint="eastAsia" w:ascii="宋体" w:hAnsi="宋体" w:eastAsia="宋体" w:cs="宋体"/>
                <w:b/>
                <w:bCs/>
                <w:color w:val="FF0000"/>
                <w:sz w:val="21"/>
                <w:szCs w:val="21"/>
                <w:highlight w:val="none"/>
                <w:lang w:val="en-US" w:eastAsia="zh-CN"/>
              </w:rPr>
              <w:t>（提供由第三方权威检测机构出具带有“CNAS”、“CMA”、“ilac-MRA”标志的与显示屏同一品牌的排线检测报告复印件，加盖制造商公章）</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bCs/>
                <w:color w:val="FF0000"/>
                <w:sz w:val="21"/>
                <w:szCs w:val="21"/>
                <w:highlight w:val="none"/>
                <w:lang w:val="en-US" w:eastAsia="zh-CN"/>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具有SELV电路，在SELV电路中任何两个导体之间或任何一个这样的导体和地之间的电压的限值为：正常工作条件下，不超过42.4V交流峰值或60V直流值，单一故障条件下，在200ms后不超过42.4V（30V有效值）交流峰值或60V直流值，并且在200ms内其极限值不超过71V（50V有效值）交流峰值或120V直流值</w:t>
            </w:r>
            <w:r>
              <w:rPr>
                <w:rFonts w:hint="eastAsia" w:ascii="宋体" w:hAnsi="宋体" w:eastAsia="宋体" w:cs="宋体"/>
                <w:b/>
                <w:bCs/>
                <w:color w:val="FF0000"/>
                <w:sz w:val="21"/>
                <w:szCs w:val="21"/>
                <w:highlight w:val="none"/>
                <w:lang w:val="en-US" w:eastAsia="zh-CN"/>
              </w:rPr>
              <w:t>（提供由第三方权威检测机构出具带有“CNAS”、“CMA”、“ilac-MRA”标志的检测报告复印件，并提供在国家市场监督管理总局“全国认证认可信息公共服务平台”上的检测报告编号查询截图，加盖制造商公章）</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bCs/>
                <w:color w:val="FF0000"/>
                <w:sz w:val="21"/>
                <w:szCs w:val="21"/>
                <w:highlight w:val="none"/>
                <w:lang w:val="en-US" w:eastAsia="zh-CN"/>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▲产品采用高端芯片，可智能调节正常工作与睡眠状态下的节能效果（动态节能，智能息屏），开启智能节电功能比没有开启节能50%以上</w:t>
            </w:r>
            <w:r>
              <w:rPr>
                <w:rFonts w:hint="eastAsia" w:ascii="宋体" w:hAnsi="宋体" w:eastAsia="宋体" w:cs="宋体"/>
                <w:b/>
                <w:bCs/>
                <w:color w:val="FF0000"/>
                <w:sz w:val="21"/>
                <w:szCs w:val="21"/>
                <w:highlight w:val="none"/>
                <w:lang w:val="en-US" w:eastAsia="zh-CN"/>
              </w:rPr>
              <w:t>（提供由第三方权威检测机构出具带有“CNAS”、“CMA”、“ilac-MRA”标志的检测报告复印件，加盖制造商公章）</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bCs/>
                <w:color w:val="FF0000"/>
                <w:sz w:val="21"/>
                <w:szCs w:val="21"/>
                <w:highlight w:val="none"/>
                <w:lang w:val="en-US" w:eastAsia="zh-CN"/>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▲支持PPA碗杯结构、点胶封装、出光方式为单面发光；显示面采用高强度化学防护材质，防碰撞、耐冲击、高耐磨、抗腐蚀、防划痕，可直接擦拭LED附着力≥100N；在灯珠四侧以水平 夹角 45°的方向施加推力 15N，灯珠未破碎或脱落</w:t>
            </w:r>
            <w:r>
              <w:rPr>
                <w:rFonts w:hint="eastAsia" w:ascii="宋体" w:hAnsi="宋体" w:eastAsia="宋体" w:cs="宋体"/>
                <w:b/>
                <w:bCs/>
                <w:color w:val="FF0000"/>
                <w:sz w:val="21"/>
                <w:szCs w:val="21"/>
                <w:highlight w:val="none"/>
                <w:lang w:val="en-US" w:eastAsia="zh-CN"/>
              </w:rPr>
              <w:t>（提供由第三方权威检测机构出具带有“CNAS”、“CMA”、“ilac-MRA”标志的检测报告复印件，加盖制造商公章）</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bCs/>
                <w:color w:val="FF0000"/>
                <w:kern w:val="2"/>
                <w:sz w:val="21"/>
                <w:szCs w:val="21"/>
                <w:highlight w:val="none"/>
                <w:lang w:val="en-US" w:eastAsia="zh-CN" w:bidi="ar-SA"/>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▲为了防止LED光源对人眼的伤害，LED电子显示屏产品通过TUV莱茵低蓝光认证，无视网膜蓝光危害。提供 TUV低蓝光认证，</w:t>
            </w:r>
            <w:r>
              <w:rPr>
                <w:rFonts w:hint="eastAsia" w:ascii="宋体" w:hAnsi="宋体" w:eastAsia="宋体" w:cs="宋体"/>
                <w:b/>
                <w:bCs/>
                <w:color w:val="FF0000"/>
                <w:sz w:val="21"/>
                <w:szCs w:val="21"/>
                <w:highlight w:val="none"/>
                <w:lang w:val="en-US" w:eastAsia="zh-CN"/>
              </w:rPr>
              <w:t>提供证书复印件，加盖制造商公章</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bCs/>
                <w:color w:val="FF0000"/>
                <w:kern w:val="2"/>
                <w:sz w:val="21"/>
                <w:szCs w:val="21"/>
                <w:highlight w:val="none"/>
                <w:lang w:val="en-US" w:eastAsia="zh-CN" w:bidi="ar-SA"/>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▲为保证产品的绿色环保性能，对人体不产生危害，所投LED显示屏符合GB/T 26125-2011和GB/T 26572-2011认证标准要求，且符合CQC21-NV330-2019《电器电子产品有害物质限制使用认证实施细则》的要求，具有电器电子产品有害物质限制使用产品认证证书，</w:t>
            </w:r>
            <w:r>
              <w:rPr>
                <w:rFonts w:hint="eastAsia" w:ascii="宋体" w:hAnsi="宋体" w:eastAsia="宋体" w:cs="宋体"/>
                <w:b/>
                <w:bCs/>
                <w:color w:val="FF0000"/>
                <w:kern w:val="2"/>
                <w:sz w:val="21"/>
                <w:szCs w:val="21"/>
                <w:highlight w:val="none"/>
                <w:lang w:val="en-US" w:eastAsia="zh-CN" w:bidi="ar-SA"/>
              </w:rPr>
              <w:t>提供证书复印件，加盖制造商公章</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宋体" w:hAnsi="宋体" w:eastAsia="宋体" w:cs="宋体"/>
                <w:b/>
                <w:bCs/>
                <w:color w:val="FF0000"/>
                <w:highlight w:val="none"/>
                <w:lang w:val="en-US" w:eastAsia="zh-CN"/>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▲为保证产品中的铅、汞、镉、六价铬、多溴联苯和多溴二苯醚利于人体健康及环境保护，符合RoHS相关验证要求，</w:t>
            </w:r>
            <w:r>
              <w:rPr>
                <w:rFonts w:hint="eastAsia" w:ascii="宋体" w:hAnsi="宋体" w:eastAsia="宋体" w:cs="宋体"/>
                <w:b/>
                <w:bCs/>
                <w:color w:val="FF0000"/>
                <w:sz w:val="21"/>
                <w:szCs w:val="21"/>
                <w:highlight w:val="none"/>
                <w:lang w:val="en-US" w:eastAsia="zh-CN"/>
              </w:rPr>
              <w:t>提供同时具有CNAS/ilac-MRA/CMA标识的权威第三方检测机构出具的RoHS验证报告复印件进行佐证，加盖制造商公章</w:t>
            </w:r>
          </w:p>
          <w:p>
            <w:pPr>
              <w:keepNext w:val="0"/>
              <w:keepLines w:val="0"/>
              <w:pageBreakBefore w:val="0"/>
              <w:widowControl/>
              <w:numPr>
                <w:ilvl w:val="0"/>
                <w:numId w:val="2"/>
              </w:numPr>
              <w:suppressLineNumbers w:val="0"/>
              <w:kinsoku/>
              <w:wordWrap w:val="0"/>
              <w:overflowPunct/>
              <w:topLinePunct w:val="0"/>
              <w:autoSpaceDE/>
              <w:autoSpaceDN/>
              <w:bidi w:val="0"/>
              <w:adjustRightInd/>
              <w:snapToGrid/>
              <w:ind w:left="0" w:leftChars="0" w:firstLine="0" w:firstLineChars="0"/>
              <w:jc w:val="left"/>
              <w:textAlignment w:val="auto"/>
              <w:rPr>
                <w:rFonts w:hint="eastAsia" w:asciiTheme="minorEastAsia" w:hAnsiTheme="minorEastAsia" w:eastAsiaTheme="minorEastAsia" w:cstheme="minorEastAsia"/>
                <w:i w:val="0"/>
                <w:iCs w:val="0"/>
                <w:color w:val="000000"/>
                <w:sz w:val="21"/>
                <w:szCs w:val="21"/>
                <w:highlight w:val="none"/>
                <w:u w:val="none"/>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★本项目LED显示屏不接受ODM产品，要求LED显示屏3C认证证书中申请人（委托人）、制造商（生产者）、生产企业三者名称须一致或为同一集团、法人企业，</w:t>
            </w:r>
            <w:r>
              <w:rPr>
                <w:rFonts w:hint="eastAsia" w:ascii="宋体" w:hAnsi="宋体" w:eastAsia="宋体" w:cs="宋体"/>
                <w:b/>
                <w:bCs/>
                <w:color w:val="FF0000"/>
                <w:sz w:val="21"/>
                <w:szCs w:val="21"/>
                <w:highlight w:val="none"/>
                <w:lang w:val="en-US" w:eastAsia="zh-CN"/>
              </w:rPr>
              <w:t>并提供证书复印件，加盖制造商公章，不提供按无效标处理</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3.92*2.96m</w:t>
            </w:r>
          </w:p>
        </w:tc>
        <w:tc>
          <w:tcPr>
            <w:tcW w:w="834"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11.6m</w:t>
            </w:r>
            <w:r>
              <w:rPr>
                <w:rStyle w:val="9"/>
                <w:rFonts w:hint="eastAsia" w:asciiTheme="minorEastAsia" w:hAnsiTheme="minorEastAsia" w:eastAsiaTheme="minorEastAsia" w:cstheme="minorEastAsia"/>
                <w:sz w:val="21"/>
                <w:szCs w:val="21"/>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10" w:type="dxa"/>
            <w:vMerge w:val="continue"/>
            <w:tcBorders>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p>
        </w:tc>
        <w:tc>
          <w:tcPr>
            <w:tcW w:w="396" w:type="dxa"/>
            <w:vMerge w:val="continue"/>
            <w:tcBorders>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p>
        </w:tc>
        <w:tc>
          <w:tcPr>
            <w:tcW w:w="10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控制卡</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1.单卡最大带载 512×512像素，最多支持 24 组RGB 并行数据；</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2.支持色彩管理，将显示色域在多个色域之间自由切换，使显示屏色彩更精准。</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3.支持18Bit+,使LED显示屏灰阶提升4倍，有效处理低亮时灰度丢失问题，使图像显示更细腻。</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4.采用 12 个标准HUB75接口，具有高稳定性和高可靠性，适用于多种环境的搭建；</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5.支持逐点亮度校正，可以对每个灯点的亮度进行校正，使整屏的亮度达到高度均匀一致，提高显示屏的画质；</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highlight w:val="none"/>
                <w:u w:val="none"/>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6.快速亮暗线调节在调试软件上进行快速亮暗线调节，快速解决因箱体及模组拼接造成的显示屏亮暗线，调节过程中即时生效，简单易用。</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10" w:type="dxa"/>
            <w:vMerge w:val="continue"/>
            <w:tcBorders>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396" w:type="dxa"/>
            <w:vMerge w:val="continue"/>
            <w:tcBorders>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视频处理器</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 xml:space="preserve">   1、支持常见的视频接口，包括 1 路DVI，2 路 HDMI1.3，1 路3G-SDI+LOOP（可根据实际需求选配）</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▲2、支持不少于3 个窗口和 1 路 OSD同时显示。</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 xml:space="preserve">  3、支持快捷配屏和高级配屏功能，脱离电脑也能实现快速配屏。</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 xml:space="preserve">  4、支持 HDMI、DVI 输入分辨率自定义调节，支持选择HDMI源或DVI源作为同步信号，达到输出的场级同步。</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 xml:space="preserve">  5、支持设备间备份和设备内网口备份设置，保障因设备故障或网线故障时，屏体运行正常。</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★6、视频输出最大带载高达 390 万像素，最宽可达10240，最高可达8192。</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 xml:space="preserve">  7、支持带载屏体亮度调节，通过旋钮可实现一键大屏亮度调节。</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▲8、支持逐点亮度校正，可以对所有灯点的亮度和色度进行采集校正，有效消除LED模组的色差，使整屏的亮度和色度达到高度均匀一致，提高显示屏的画质。</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 xml:space="preserve">  9、支持创建 不少于10 个用户场景作为模板保存，方便使用。</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▲10、支持选择 HDMI 输入源或 DVI 输入源作为同步信号，达到输出的场级同步。</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 xml:space="preserve">  11、支持一键缩放功能，无需电脑，一键将优先级最低的窗口全屏自动缩放；</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▲12、前面板配备直观的 LCD 显示界面，可直接观察网口的通讯状态，设备型号，IP地址，屏幕大小及信号源状态等信息，简化系统的控制操作。</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★13、支持自定义按键功能，可将按键设置为用户常用的功能菜单，一键快捷直达；</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▲14、集成视频处理和发送卡功能，简化系统链路，提高系统的稳定性及兼容性；</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highlight w:val="none"/>
                <w:u w:val="none"/>
              </w:rPr>
            </w:pPr>
            <w:r>
              <w:rPr>
                <w:rFonts w:hint="eastAsia" w:asciiTheme="minorEastAsia" w:hAnsiTheme="minorEastAsia" w:eastAsiaTheme="minorEastAsia" w:cstheme="minorEastAsia"/>
                <w:b/>
                <w:bCs/>
                <w:i w:val="0"/>
                <w:iCs w:val="0"/>
                <w:color w:val="FF0000"/>
                <w:kern w:val="0"/>
                <w:sz w:val="21"/>
                <w:szCs w:val="21"/>
                <w:highlight w:val="none"/>
                <w:u w:val="none"/>
                <w:lang w:val="en-US" w:eastAsia="zh-CN" w:bidi="ar"/>
              </w:rPr>
              <w:t>▲15、上述参数投标商需提供CNAS认可的检测机构出具的测试报告并加盖生产厂商公章以供查验；</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834"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10" w:type="dxa"/>
            <w:vMerge w:val="continue"/>
            <w:tcBorders>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396" w:type="dxa"/>
            <w:vMerge w:val="continue"/>
            <w:tcBorders>
              <w:left w:val="single" w:color="000000" w:sz="8"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电源</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1.输入电压范围： 176～264VAC  额定输出电压：5VDC</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2.纹波和噪声：150mVp-p</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3.过载保护：额定负载的110--150%范围内电源保护，去载恢复正常输出</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4.短路保护：输出端短路时电源保护，输出关断，去掉短路恢复正常输出</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5.安全标准：符合GB4943-2001，UL1012</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6.抗电强度：I/P-O/P、I/P-FG：1.5KVAC    O/P-FG：0.5KVAC</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7.绝缘电阻：I/P-O/P、I/P-FG、O/P-FG：100MΩ/500VDC  </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8.平均无故障工作时间（MTBF）：100，000小时</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4.5v</w:t>
            </w:r>
          </w:p>
        </w:tc>
        <w:tc>
          <w:tcPr>
            <w:tcW w:w="834"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10" w:type="dxa"/>
            <w:vMerge w:val="continue"/>
            <w:tcBorders>
              <w:left w:val="single" w:color="000000" w:sz="8" w:space="0"/>
              <w:bottom w:val="single" w:color="auto"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396" w:type="dxa"/>
            <w:vMerge w:val="continue"/>
            <w:tcBorders>
              <w:left w:val="single" w:color="000000" w:sz="8" w:space="0"/>
              <w:bottom w:val="single" w:color="auto"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1"/>
                <w:szCs w:val="21"/>
                <w:u w:val="none"/>
              </w:rPr>
            </w:pPr>
          </w:p>
        </w:tc>
        <w:tc>
          <w:tcPr>
            <w:tcW w:w="1031"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钢结构</w:t>
            </w:r>
          </w:p>
        </w:tc>
        <w:tc>
          <w:tcPr>
            <w:tcW w:w="4755"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根据显示屏实际安装情况定制，所用钢材料均使用镀锌钢材，采用榫卯结构，免焊接，免切割，尺寸精确，安装便捷。目前测得面积为11.6平方米。长为：3.92米。高：2.96米</w:t>
            </w:r>
          </w:p>
        </w:tc>
        <w:tc>
          <w:tcPr>
            <w:tcW w:w="126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11.06m</w:t>
            </w:r>
            <w:r>
              <w:rPr>
                <w:rStyle w:val="9"/>
                <w:rFonts w:hint="eastAsia" w:asciiTheme="minorEastAsia" w:hAnsiTheme="minorEastAsia" w:eastAsiaTheme="minorEastAsia" w:cstheme="minorEastAsia"/>
                <w:sz w:val="21"/>
                <w:szCs w:val="21"/>
                <w:lang w:val="en-US" w:eastAsia="zh-CN" w:bidi="ar"/>
              </w:rPr>
              <w:t>2</w:t>
            </w:r>
          </w:p>
        </w:tc>
        <w:tc>
          <w:tcPr>
            <w:tcW w:w="834" w:type="dxa"/>
            <w:tcBorders>
              <w:top w:val="single" w:color="000000" w:sz="4" w:space="0"/>
              <w:left w:val="single" w:color="000000" w:sz="4" w:space="0"/>
              <w:bottom w:val="single" w:color="auto" w:sz="4" w:space="0"/>
              <w:right w:val="single" w:color="000000" w:sz="8" w:space="0"/>
            </w:tcBorders>
            <w:shd w:val="clear" w:color="auto" w:fill="auto"/>
            <w:vAlign w:val="center"/>
          </w:tcPr>
          <w:p>
            <w:pPr>
              <w:jc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06"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1"/>
                <w:szCs w:val="21"/>
                <w:u w:val="none"/>
              </w:rPr>
            </w:pPr>
          </w:p>
          <w:p>
            <w:pPr>
              <w:bidi w:val="0"/>
              <w:jc w:val="center"/>
              <w:rPr>
                <w:rFonts w:hint="eastAsia" w:asciiTheme="minorEastAsia" w:hAnsiTheme="minorEastAsia" w:eastAsiaTheme="minorEastAsia" w:cstheme="minorEastAsia"/>
                <w:kern w:val="2"/>
                <w:sz w:val="21"/>
                <w:szCs w:val="21"/>
                <w:lang w:val="en-US" w:eastAsia="zh-CN" w:bidi="ar-SA"/>
              </w:rPr>
            </w:pPr>
          </w:p>
          <w:p>
            <w:pPr>
              <w:bidi w:val="0"/>
              <w:ind w:firstLine="414" w:firstLineChars="0"/>
              <w:jc w:val="both"/>
              <w:rPr>
                <w:rFonts w:hint="eastAsia" w:asciiTheme="minorEastAsia" w:hAnsiTheme="minorEastAsia" w:eastAsiaTheme="minorEastAsia" w:cstheme="minorEastAsia"/>
                <w:sz w:val="21"/>
                <w:szCs w:val="21"/>
                <w:lang w:val="en-US" w:eastAsia="zh-CN"/>
              </w:rPr>
            </w:pPr>
          </w:p>
          <w:p>
            <w:pPr>
              <w:bidi w:val="0"/>
              <w:ind w:firstLine="414" w:firstLineChars="0"/>
              <w:jc w:val="both"/>
              <w:rPr>
                <w:rFonts w:hint="eastAsia" w:asciiTheme="minorEastAsia" w:hAnsiTheme="minorEastAsia" w:eastAsiaTheme="minorEastAsia" w:cstheme="minorEastAsia"/>
                <w:sz w:val="21"/>
                <w:szCs w:val="21"/>
                <w:lang w:val="en-US" w:eastAsia="zh-CN"/>
              </w:rPr>
            </w:pPr>
          </w:p>
          <w:p>
            <w:pPr>
              <w:bidi w:val="0"/>
              <w:ind w:firstLine="414" w:firstLineChars="0"/>
              <w:jc w:val="both"/>
              <w:rPr>
                <w:rFonts w:hint="eastAsia" w:asciiTheme="minorEastAsia" w:hAnsiTheme="minorEastAsia" w:eastAsiaTheme="minorEastAsia" w:cstheme="minorEastAsia"/>
                <w:sz w:val="21"/>
                <w:szCs w:val="21"/>
                <w:lang w:val="en-US" w:eastAsia="zh-CN"/>
              </w:rPr>
            </w:pPr>
          </w:p>
          <w:p>
            <w:pPr>
              <w:bidi w:val="0"/>
              <w:ind w:firstLine="414" w:firstLineChars="0"/>
              <w:jc w:val="both"/>
              <w:rPr>
                <w:rFonts w:hint="eastAsia" w:asciiTheme="minorEastAsia" w:hAnsiTheme="minorEastAsia" w:eastAsiaTheme="minorEastAsia" w:cstheme="minorEastAsia"/>
                <w:sz w:val="21"/>
                <w:szCs w:val="21"/>
                <w:lang w:val="en-US" w:eastAsia="zh-CN"/>
              </w:rPr>
            </w:pPr>
          </w:p>
          <w:p>
            <w:pPr>
              <w:bidi w:val="0"/>
              <w:ind w:firstLine="414" w:firstLineChars="0"/>
              <w:jc w:val="both"/>
              <w:rPr>
                <w:rFonts w:hint="eastAsia" w:asciiTheme="minorEastAsia" w:hAnsiTheme="minorEastAsia" w:eastAsiaTheme="minorEastAsia" w:cstheme="minorEastAsia"/>
                <w:sz w:val="21"/>
                <w:szCs w:val="21"/>
                <w:lang w:val="en-US" w:eastAsia="zh-CN"/>
              </w:rPr>
            </w:pPr>
          </w:p>
          <w:p>
            <w:pPr>
              <w:bidi w:val="0"/>
              <w:ind w:firstLine="414" w:firstLineChars="0"/>
              <w:jc w:val="both"/>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12</w:t>
            </w:r>
          </w:p>
        </w:tc>
        <w:tc>
          <w:tcPr>
            <w:tcW w:w="100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户外单红显示屏</w:t>
            </w:r>
          </w:p>
        </w:tc>
        <w:tc>
          <w:tcPr>
            <w:tcW w:w="4755"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1.像素间距：小于等于10mm</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2.像素组成：1R</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3.像素密度：10000点/㎡</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4.亮度：≥1500cd/㎡</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5.驱动方式：1/4横流驱动</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6.亮度均匀性：&gt;0.8；</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7.最大电流：≤3A</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8.屏体视角：水平≥120°±10、垂直≥60°±10</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9.总尺寸：54cm*805cm，单屏尺寸：320mm*160mm</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10.模组分辩率：32*16</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11.LED寿命：≥10万小时；平均无故障时间：≥1万小时。</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12.最大功耗：≤264W/㎡；</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13.工作温度范围：-20-40℃</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14.工作湿度范围；10％-90％RH</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15.衰减率：≤15%；盲点率：＜1/10000（出厂时为0）</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16.开关电源负荷：4.5V/40A</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17.防护性能：超温/过载/掉电/过流/过压/防雷(可选项)</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18.屏幕水平平整度，屏幕垂直平整度：＜1mm/㎡</w:t>
            </w:r>
          </w:p>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b/>
                <w:bCs/>
                <w:i w:val="0"/>
                <w:iCs w:val="0"/>
                <w:color w:val="FF0000"/>
                <w:kern w:val="0"/>
                <w:sz w:val="21"/>
                <w:szCs w:val="21"/>
                <w:u w:val="none"/>
                <w:lang w:val="en-US" w:eastAsia="zh-CN" w:bidi="ar"/>
              </w:rPr>
              <w:t>19.要求投报政府采购国家强制节能产品、产品生产厂家是高新技术企业，需提供制造商CCC认证证书、CE认证证书、ROSH环保认证、ISO9001质量管理体系认证和经国家认证认可监督管理委员会认可的检验机构出具检验报告复印件并加盖厂家公章，核对性能指标。</w:t>
            </w:r>
          </w:p>
        </w:tc>
        <w:tc>
          <w:tcPr>
            <w:tcW w:w="1290"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4.35m</w:t>
            </w:r>
            <w:r>
              <w:rPr>
                <w:rStyle w:val="9"/>
                <w:rFonts w:hint="eastAsia" w:asciiTheme="minorEastAsia" w:hAnsiTheme="minorEastAsia" w:eastAsiaTheme="minorEastAsia" w:cstheme="minorEastAsia"/>
                <w:sz w:val="21"/>
                <w:szCs w:val="21"/>
                <w:lang w:val="en-US" w:eastAsia="zh-CN" w:bidi="ar"/>
              </w:rPr>
              <w:t>2</w:t>
            </w:r>
          </w:p>
        </w:tc>
        <w:tc>
          <w:tcPr>
            <w:tcW w:w="834"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1</w:t>
            </w:r>
          </w:p>
        </w:tc>
      </w:tr>
    </w:tbl>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tbl>
      <w:tblPr>
        <w:tblStyle w:val="6"/>
        <w:tblW w:w="81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5"/>
        <w:gridCol w:w="3657"/>
        <w:gridCol w:w="34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jc w:val="center"/>
        </w:trPr>
        <w:tc>
          <w:tcPr>
            <w:tcW w:w="8132" w:type="dxa"/>
            <w:gridSpan w:val="3"/>
            <w:tcBorders>
              <w:top w:val="single" w:color="000000" w:sz="8" w:space="0"/>
              <w:left w:val="single" w:color="000000" w:sz="8"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8"/>
                <w:szCs w:val="28"/>
                <w:u w:val="none"/>
                <w:lang w:val="en-US"/>
              </w:rPr>
            </w:pPr>
            <w:r>
              <w:rPr>
                <w:rFonts w:hint="eastAsia" w:ascii="宋体" w:hAnsi="宋体" w:eastAsia="宋体" w:cs="宋体"/>
                <w:b/>
                <w:bCs/>
                <w:i w:val="0"/>
                <w:iCs w:val="0"/>
                <w:color w:val="000000"/>
                <w:kern w:val="0"/>
                <w:sz w:val="28"/>
                <w:szCs w:val="28"/>
                <w:u w:val="none"/>
                <w:lang w:val="en-US" w:eastAsia="zh-CN" w:bidi="ar"/>
              </w:rPr>
              <w:t>许昌幼儿师范学校招生大厅文化版面及设备报价表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序号</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项目名称</w:t>
            </w:r>
          </w:p>
        </w:tc>
        <w:tc>
          <w:tcPr>
            <w:tcW w:w="348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lang w:val="en-US" w:eastAsia="zh-CN"/>
              </w:rPr>
            </w:pPr>
            <w:r>
              <w:rPr>
                <w:rFonts w:hint="eastAsia" w:asciiTheme="majorEastAsia" w:hAnsiTheme="majorEastAsia" w:eastAsiaTheme="majorEastAsia" w:cstheme="majorEastAsia"/>
                <w:i w:val="0"/>
                <w:iCs w:val="0"/>
                <w:color w:val="000000"/>
                <w:sz w:val="24"/>
                <w:szCs w:val="24"/>
                <w:u w:val="none"/>
                <w:lang w:val="en-US" w:eastAsia="zh-CN"/>
              </w:rPr>
              <w:t>报价（元）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1</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楼体字</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2</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室内墙面文化装饰</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3</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洽谈桌椅</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4</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咨询服务台</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5</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咨询台座椅</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6</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咨询转椅</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7</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前台背景墙</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8</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一体机电脑</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i w:val="0"/>
                <w:iCs w:val="0"/>
                <w:color w:val="000000"/>
                <w:sz w:val="24"/>
                <w:szCs w:val="24"/>
                <w:u w:val="none"/>
                <w:lang w:val="en-US" w:eastAsia="zh-CN"/>
              </w:rPr>
              <w:t>9</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i w:val="0"/>
                <w:iCs w:val="0"/>
                <w:color w:val="000000"/>
                <w:kern w:val="0"/>
                <w:sz w:val="24"/>
                <w:szCs w:val="24"/>
                <w:u w:val="none"/>
                <w:lang w:val="en-US" w:eastAsia="zh-CN" w:bidi="ar"/>
              </w:rPr>
              <w:t>打印机</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i w:val="0"/>
                <w:iCs w:val="0"/>
                <w:color w:val="000000"/>
                <w:sz w:val="24"/>
                <w:szCs w:val="24"/>
                <w:u w:val="none"/>
                <w:lang w:val="en-US" w:eastAsia="zh-CN"/>
              </w:rPr>
              <w:t>10</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i w:val="0"/>
                <w:iCs w:val="0"/>
                <w:color w:val="000000"/>
                <w:kern w:val="0"/>
                <w:sz w:val="24"/>
                <w:szCs w:val="24"/>
                <w:u w:val="none"/>
                <w:lang w:val="en-US" w:eastAsia="zh-CN" w:bidi="ar"/>
              </w:rPr>
              <w:t>立式触摸一体机</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i w:val="0"/>
                <w:iCs w:val="0"/>
                <w:color w:val="000000"/>
                <w:sz w:val="24"/>
                <w:szCs w:val="24"/>
                <w:u w:val="none"/>
                <w:lang w:val="en-US" w:eastAsia="zh-CN"/>
              </w:rPr>
              <w:t>11</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i w:val="0"/>
                <w:iCs w:val="0"/>
                <w:color w:val="000000"/>
                <w:kern w:val="0"/>
                <w:sz w:val="24"/>
                <w:szCs w:val="24"/>
                <w:u w:val="none"/>
                <w:lang w:val="en-US" w:eastAsia="zh-CN" w:bidi="ar"/>
              </w:rPr>
              <w:t>室内led大屏</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9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bidi w:val="0"/>
              <w:jc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sz w:val="24"/>
                <w:szCs w:val="24"/>
                <w:lang w:val="en-US" w:eastAsia="zh-CN"/>
              </w:rPr>
              <w:t>12</w:t>
            </w:r>
          </w:p>
        </w:tc>
        <w:tc>
          <w:tcPr>
            <w:tcW w:w="3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2"/>
                <w:sz w:val="24"/>
                <w:szCs w:val="24"/>
                <w:u w:val="none"/>
                <w:lang w:val="en-US" w:eastAsia="zh-CN" w:bidi="ar-SA"/>
              </w:rPr>
            </w:pPr>
            <w:r>
              <w:rPr>
                <w:rFonts w:hint="eastAsia" w:asciiTheme="majorEastAsia" w:hAnsiTheme="majorEastAsia" w:eastAsiaTheme="majorEastAsia" w:cstheme="majorEastAsia"/>
                <w:i w:val="0"/>
                <w:iCs w:val="0"/>
                <w:color w:val="000000"/>
                <w:kern w:val="0"/>
                <w:sz w:val="24"/>
                <w:szCs w:val="24"/>
                <w:u w:val="none"/>
                <w:lang w:val="en-US" w:eastAsia="zh-CN" w:bidi="ar"/>
              </w:rPr>
              <w:t>户外单红显示屏</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4652"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合计</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4"/>
                <w:szCs w:val="24"/>
                <w:u w:val="none"/>
              </w:rPr>
            </w:pPr>
          </w:p>
        </w:tc>
      </w:tr>
    </w:tbl>
    <w:p>
      <w:pPr>
        <w:widowControl w:val="0"/>
        <w:spacing w:after="0"/>
        <w:jc w:val="left"/>
        <w:rPr>
          <w:rFonts w:hint="eastAsia" w:asciiTheme="majorEastAsia" w:hAnsiTheme="majorEastAsia" w:eastAsiaTheme="majorEastAsia" w:cstheme="majorEastAsia"/>
          <w:sz w:val="24"/>
          <w:szCs w:val="24"/>
          <w:lang w:eastAsia="zh-CN"/>
        </w:rPr>
      </w:pPr>
    </w:p>
    <w:p>
      <w:pPr>
        <w:widowControl w:val="0"/>
        <w:spacing w:after="0"/>
        <w:jc w:val="left"/>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注 ：</w:t>
      </w:r>
    </w:p>
    <w:p>
      <w:pPr>
        <w:widowControl w:val="0"/>
        <w:spacing w:after="0"/>
        <w:ind w:left="0" w:leftChars="0" w:right="320" w:rightChars="100" w:firstLine="0" w:firstLineChars="0"/>
        <w:jc w:val="left"/>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1</w:t>
      </w:r>
      <w:r>
        <w:rPr>
          <w:rFonts w:hint="eastAsia" w:asciiTheme="majorEastAsia" w:hAnsiTheme="majorEastAsia" w:eastAsiaTheme="majorEastAsia" w:cstheme="majorEastAsia"/>
          <w:sz w:val="24"/>
          <w:szCs w:val="24"/>
          <w:lang w:val="en-US" w:eastAsia="zh-CN"/>
        </w:rPr>
        <w:t>.</w:t>
      </w:r>
      <w:r>
        <w:rPr>
          <w:rFonts w:hint="eastAsia" w:asciiTheme="majorEastAsia" w:hAnsiTheme="majorEastAsia" w:eastAsiaTheme="majorEastAsia" w:cstheme="majorEastAsia"/>
          <w:sz w:val="24"/>
          <w:szCs w:val="24"/>
          <w:lang w:eastAsia="zh-CN"/>
        </w:rPr>
        <w:t>本报价为一次性报价，不得更改，</w:t>
      </w:r>
      <w:r>
        <w:rPr>
          <w:rFonts w:hint="eastAsia" w:asciiTheme="majorEastAsia" w:hAnsiTheme="majorEastAsia" w:eastAsiaTheme="majorEastAsia" w:cstheme="majorEastAsia"/>
          <w:sz w:val="24"/>
          <w:szCs w:val="24"/>
          <w:lang w:val="en-US" w:eastAsia="zh-CN"/>
        </w:rPr>
        <w:t>总价不得超过18.4万</w:t>
      </w:r>
      <w:r>
        <w:rPr>
          <w:rFonts w:hint="eastAsia" w:asciiTheme="majorEastAsia" w:hAnsiTheme="majorEastAsia" w:eastAsiaTheme="majorEastAsia" w:cstheme="majorEastAsia"/>
          <w:sz w:val="24"/>
          <w:szCs w:val="24"/>
          <w:lang w:eastAsia="zh-CN"/>
        </w:rPr>
        <w:t>。                                                                                                                                          2</w:t>
      </w:r>
      <w:r>
        <w:rPr>
          <w:rFonts w:hint="eastAsia" w:asciiTheme="majorEastAsia" w:hAnsiTheme="majorEastAsia" w:eastAsiaTheme="majorEastAsia" w:cstheme="majorEastAsia"/>
          <w:sz w:val="24"/>
          <w:szCs w:val="24"/>
          <w:lang w:val="en-US" w:eastAsia="zh-CN"/>
        </w:rPr>
        <w:t>.报价中含设计、制作、安装等费用。</w:t>
      </w:r>
      <w:r>
        <w:rPr>
          <w:rFonts w:hint="eastAsia" w:asciiTheme="majorEastAsia" w:hAnsiTheme="majorEastAsia" w:eastAsiaTheme="majorEastAsia" w:cstheme="majorEastAsia"/>
          <w:sz w:val="24"/>
          <w:szCs w:val="24"/>
          <w:lang w:eastAsia="zh-CN"/>
        </w:rPr>
        <w:t xml:space="preserve">                                                                                                              3</w:t>
      </w:r>
      <w:r>
        <w:rPr>
          <w:rFonts w:hint="eastAsia" w:asciiTheme="majorEastAsia" w:hAnsiTheme="majorEastAsia" w:eastAsiaTheme="majorEastAsia" w:cstheme="majorEastAsia"/>
          <w:sz w:val="24"/>
          <w:szCs w:val="24"/>
          <w:lang w:val="en-US" w:eastAsia="zh-CN"/>
        </w:rPr>
        <w:t>.需提交</w:t>
      </w:r>
      <w:r>
        <w:rPr>
          <w:rFonts w:hint="eastAsia" w:asciiTheme="majorEastAsia" w:hAnsiTheme="majorEastAsia" w:eastAsiaTheme="majorEastAsia" w:cstheme="majorEastAsia"/>
          <w:sz w:val="24"/>
          <w:szCs w:val="24"/>
          <w:lang w:eastAsia="zh-CN"/>
        </w:rPr>
        <w:t>贵方营业执照（复印件加盖公章）、法人授权书（委托书）、身份证复印件、报价表交学校备存。</w:t>
      </w:r>
      <w:r>
        <w:rPr>
          <w:rFonts w:hint="eastAsia" w:asciiTheme="majorEastAsia" w:hAnsiTheme="majorEastAsia" w:eastAsiaTheme="majorEastAsia" w:cstheme="majorEastAsia"/>
          <w:sz w:val="24"/>
          <w:szCs w:val="24"/>
          <w:lang w:val="en-US" w:eastAsia="zh-CN"/>
        </w:rPr>
        <w:t>技术参数中有相关证明材料要求的需提供全套证明材料。</w:t>
      </w:r>
      <w:r>
        <w:rPr>
          <w:rFonts w:hint="eastAsia" w:asciiTheme="majorEastAsia" w:hAnsiTheme="majorEastAsia" w:eastAsiaTheme="majorEastAsia" w:cstheme="majorEastAsia"/>
          <w:sz w:val="24"/>
          <w:szCs w:val="24"/>
          <w:lang w:eastAsia="zh-CN"/>
        </w:rPr>
        <w:t xml:space="preserve"> </w:t>
      </w:r>
    </w:p>
    <w:p>
      <w:pPr>
        <w:widowControl w:val="0"/>
        <w:wordWrap w:val="0"/>
        <w:spacing w:after="0"/>
        <w:ind w:left="480" w:leftChars="0" w:hanging="480" w:hangingChars="200"/>
        <w:jc w:val="right"/>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 xml:space="preserve">                                                   </w:t>
      </w:r>
    </w:p>
    <w:p>
      <w:pPr>
        <w:widowControl w:val="0"/>
        <w:wordWrap w:val="0"/>
        <w:spacing w:after="0"/>
        <w:ind w:left="480" w:leftChars="0" w:hanging="480" w:hangingChars="200"/>
        <w:jc w:val="right"/>
        <w:rPr>
          <w:rFonts w:hint="eastAsia" w:asciiTheme="majorEastAsia" w:hAnsiTheme="majorEastAsia" w:eastAsiaTheme="majorEastAsia" w:cstheme="majorEastAsia"/>
          <w:sz w:val="24"/>
          <w:szCs w:val="24"/>
          <w:lang w:val="en-US" w:eastAsia="zh-CN"/>
        </w:rPr>
      </w:pPr>
    </w:p>
    <w:p>
      <w:pPr>
        <w:widowControl w:val="0"/>
        <w:wordWrap w:val="0"/>
        <w:spacing w:after="0"/>
        <w:ind w:left="480" w:leftChars="0" w:hanging="480" w:hangingChars="200"/>
        <w:jc w:val="right"/>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 xml:space="preserve">                                      </w:t>
      </w:r>
    </w:p>
    <w:p>
      <w:pPr>
        <w:widowControl w:val="0"/>
        <w:wordWrap w:val="0"/>
        <w:spacing w:after="0"/>
        <w:ind w:left="480" w:leftChars="0" w:hanging="480" w:hangingChars="200"/>
        <w:jc w:val="right"/>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 xml:space="preserve">供应商（盖章）：                   </w:t>
      </w:r>
    </w:p>
    <w:p>
      <w:pPr>
        <w:widowControl w:val="0"/>
        <w:wordWrap w:val="0"/>
        <w:spacing w:after="0"/>
        <w:ind w:left="480" w:leftChars="0" w:hanging="480" w:hangingChars="200"/>
        <w:jc w:val="right"/>
        <w:rPr>
          <w:rFonts w:hint="default" w:ascii="仿宋_GB2312" w:hAnsi="仿宋_GB2312" w:eastAsia="仿宋_GB2312" w:cs="仿宋_GB2312"/>
          <w:sz w:val="32"/>
          <w:szCs w:val="32"/>
          <w:lang w:val="en-US" w:eastAsia="zh-CN"/>
        </w:rPr>
      </w:pPr>
      <w:r>
        <w:rPr>
          <w:rFonts w:hint="eastAsia" w:asciiTheme="majorEastAsia" w:hAnsiTheme="majorEastAsia" w:eastAsiaTheme="majorEastAsia" w:cstheme="majorEastAsia"/>
          <w:sz w:val="24"/>
          <w:szCs w:val="24"/>
          <w:lang w:val="en-US" w:eastAsia="zh-CN"/>
        </w:rPr>
        <w:t>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56B3F9"/>
    <w:multiLevelType w:val="singleLevel"/>
    <w:tmpl w:val="D356B3F9"/>
    <w:lvl w:ilvl="0" w:tentative="0">
      <w:start w:val="1"/>
      <w:numFmt w:val="decimal"/>
      <w:suff w:val="nothing"/>
      <w:lvlText w:val="%1、"/>
      <w:lvlJc w:val="left"/>
      <w:rPr>
        <w:rFonts w:hint="default"/>
        <w:sz w:val="22"/>
        <w:szCs w:val="22"/>
      </w:rPr>
    </w:lvl>
  </w:abstractNum>
  <w:abstractNum w:abstractNumId="1">
    <w:nsid w:val="5ABAAAE0"/>
    <w:multiLevelType w:val="singleLevel"/>
    <w:tmpl w:val="5ABAAAE0"/>
    <w:lvl w:ilvl="0" w:tentative="0">
      <w:start w:val="2"/>
      <w:numFmt w:val="decimal"/>
      <w:suff w:val="nothing"/>
      <w:lvlText w:val="%1、"/>
      <w:lvlJc w:val="left"/>
      <w:rPr>
        <w:rFonts w:hint="default"/>
        <w:sz w:val="22"/>
        <w:szCs w:val="22"/>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hYmU3MTQ5ZTg2MTE5M2U5OTQ0OTRmYWY5YjM0MjQifQ=="/>
    <w:docVar w:name="KSO_WPS_MARK_KEY" w:val="fb28f82e-529c-4fc2-9a2c-9d77cb5de68a"/>
  </w:docVars>
  <w:rsids>
    <w:rsidRoot w:val="00000000"/>
    <w:rsid w:val="03BB5C30"/>
    <w:rsid w:val="054A1FEA"/>
    <w:rsid w:val="07C05BA3"/>
    <w:rsid w:val="08251EAA"/>
    <w:rsid w:val="09301D0C"/>
    <w:rsid w:val="0ED4462A"/>
    <w:rsid w:val="124C3CBC"/>
    <w:rsid w:val="17DD47DF"/>
    <w:rsid w:val="1A456F7A"/>
    <w:rsid w:val="1BF36C8B"/>
    <w:rsid w:val="1CAE64BA"/>
    <w:rsid w:val="235E3810"/>
    <w:rsid w:val="332E78B7"/>
    <w:rsid w:val="357E6A60"/>
    <w:rsid w:val="39F50E2C"/>
    <w:rsid w:val="3CAB7F0E"/>
    <w:rsid w:val="43671945"/>
    <w:rsid w:val="45201256"/>
    <w:rsid w:val="452D3C99"/>
    <w:rsid w:val="455C6718"/>
    <w:rsid w:val="46B61793"/>
    <w:rsid w:val="520A5B99"/>
    <w:rsid w:val="53FD24FA"/>
    <w:rsid w:val="54606747"/>
    <w:rsid w:val="548117E3"/>
    <w:rsid w:val="572D13FA"/>
    <w:rsid w:val="585E3A88"/>
    <w:rsid w:val="5CA73892"/>
    <w:rsid w:val="61DD032A"/>
    <w:rsid w:val="67FB3025"/>
    <w:rsid w:val="69EF77F0"/>
    <w:rsid w:val="6AA560DB"/>
    <w:rsid w:val="6AC364B9"/>
    <w:rsid w:val="6C067180"/>
    <w:rsid w:val="705B6F34"/>
    <w:rsid w:val="71202C04"/>
    <w:rsid w:val="727545CE"/>
    <w:rsid w:val="7CA33E88"/>
    <w:rsid w:val="7F043F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3"/>
    <w:next w:val="1"/>
    <w:qFormat/>
    <w:uiPriority w:val="0"/>
    <w:pPr>
      <w:spacing w:after="20" w:afterLines="20" w:line="240" w:lineRule="auto"/>
      <w:ind w:left="0"/>
      <w:jc w:val="left"/>
      <w:outlineLvl w:val="0"/>
    </w:pPr>
    <w:rPr>
      <w:rFonts w:ascii="Arial" w:hAnsi="Arial" w:eastAsia="黑体"/>
      <w:bCs/>
      <w:snapToGrid w:val="0"/>
      <w:szCs w:val="32"/>
    </w:rPr>
  </w:style>
  <w:style w:type="paragraph" w:styleId="4">
    <w:name w:val="heading 2"/>
    <w:basedOn w:val="1"/>
    <w:next w:val="1"/>
    <w:semiHidden/>
    <w:unhideWhenUsed/>
    <w:qFormat/>
    <w:uiPriority w:val="0"/>
    <w:pPr>
      <w:widowControl w:val="0"/>
      <w:spacing w:line="700" w:lineRule="exact"/>
      <w:ind w:firstLine="560" w:firstLineChars="200"/>
      <w:outlineLvl w:val="1"/>
    </w:pPr>
    <w:rPr>
      <w:rFonts w:ascii="方正楷体_GB2312" w:hAnsi="方正楷体_GB2312" w:eastAsia="方正楷体_GB2312" w:cs="方正楷体_GB2312"/>
      <w:b/>
      <w:snapToGrid w:val="0"/>
      <w:color w:val="000000"/>
      <w:kern w:val="0"/>
      <w:szCs w:val="32"/>
      <w:lang w:eastAsia="en-US"/>
    </w:rPr>
  </w:style>
  <w:style w:type="paragraph" w:styleId="5">
    <w:name w:val="heading 3"/>
    <w:basedOn w:val="1"/>
    <w:next w:val="1"/>
    <w:semiHidden/>
    <w:unhideWhenUsed/>
    <w:qFormat/>
    <w:uiPriority w:val="0"/>
    <w:pPr>
      <w:keepNext/>
      <w:keepLines/>
      <w:spacing w:before="140" w:beforeLines="0" w:beforeAutospacing="0" w:after="140" w:afterLines="0" w:afterAutospacing="0" w:line="240" w:lineRule="auto"/>
      <w:outlineLvl w:val="2"/>
    </w:pPr>
    <w:rPr>
      <w:rFonts w:eastAsia="仿宋"/>
      <w:b/>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Title"/>
    <w:basedOn w:val="1"/>
    <w:qFormat/>
    <w:uiPriority w:val="0"/>
    <w:pPr>
      <w:spacing w:before="240" w:beforeLines="0" w:beforeAutospacing="0" w:after="60" w:afterLines="0" w:afterAutospacing="0"/>
      <w:jc w:val="center"/>
      <w:outlineLvl w:val="0"/>
    </w:pPr>
    <w:rPr>
      <w:rFonts w:ascii="Arial" w:hAnsi="Arial"/>
      <w:b/>
      <w:sz w:val="32"/>
    </w:rPr>
  </w:style>
  <w:style w:type="table" w:styleId="7">
    <w:name w:val="Table Grid"/>
    <w:basedOn w:val="6"/>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22"/>
      <w:szCs w:val="22"/>
      <w:u w:val="none"/>
      <w:vertAlign w:val="superscript"/>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4232</Words>
  <Characters>5256</Characters>
  <Lines>0</Lines>
  <Paragraphs>0</Paragraphs>
  <TotalTime>11</TotalTime>
  <ScaleCrop>false</ScaleCrop>
  <LinksUpToDate>false</LinksUpToDate>
  <CharactersWithSpaces>5700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2024-03-07T00:42:00Z</dcterms:created>
  <dc:creator>Administrator</dc:creator>
  <cp:lastModifiedBy>鸡汁烧酒(๑•̀ㅂ•́)و✧</cp:lastModifiedBy>
  <cp:lastPrinted>2025-05-14T01:22:00Z</cp:lastPrinted>
  <dcterms:modified xsi:type="dcterms:W3CDTF">2025-05-19T08:01:47Z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651AD84677DD48D59D89742CB389CA97</vt:lpwstr>
  </property>
  <property fmtid="{D5CDD505-2E9C-101B-9397-08002B2CF9AE}" pid="4" name="KSOTemplateDocerSaveRecord">
    <vt:lpwstr>eyJoZGlkIjoiMWE5NDUzODg1Nzg3ZDI1MWZlY2Q5ODBhYmYwMTI5ZjYiLCJ1c2VySWQiOiIzMTg5MTM0MTMifQ==</vt:lpwstr>
  </property>
</Properties>
</file>